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C" w:rsidRPr="00CA3B7C" w:rsidRDefault="00CA3B7C" w:rsidP="002D6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  <w:bookmarkStart w:id="0" w:name="_GoBack"/>
      <w:bookmarkEnd w:id="0"/>
      <w:r w:rsidRPr="00CA3B7C">
        <w:rPr>
          <w:rFonts w:ascii="Times New Roman" w:hAnsi="Times New Roman"/>
          <w:b/>
          <w:color w:val="000000"/>
          <w:sz w:val="24"/>
          <w:szCs w:val="24"/>
          <w:lang w:eastAsia="es-ES"/>
        </w:rPr>
        <w:t>ANEXO III.</w:t>
      </w:r>
    </w:p>
    <w:p w:rsidR="00CA3B7C" w:rsidRPr="00CA3B7C" w:rsidRDefault="00CA3B7C" w:rsidP="002D627C">
      <w:pPr>
        <w:autoSpaceDE w:val="0"/>
        <w:autoSpaceDN w:val="0"/>
        <w:adjustRightInd w:val="0"/>
        <w:spacing w:after="0"/>
        <w:ind w:left="5103" w:hanging="5103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/>
          <w:color w:val="000000"/>
          <w:sz w:val="24"/>
          <w:szCs w:val="24"/>
          <w:lang w:eastAsia="es-ES"/>
        </w:rPr>
        <w:t xml:space="preserve">Agregación de Gastos de cada Actividad subvencionada por SMS, según su tipología. (Un cuadro para cada Actividad </w:t>
      </w:r>
      <w:r w:rsidR="002D627C" w:rsidRPr="00CA3B7C">
        <w:rPr>
          <w:rFonts w:ascii="Times New Roman" w:hAnsi="Times New Roman"/>
          <w:b/>
          <w:color w:val="000000"/>
          <w:sz w:val="24"/>
          <w:szCs w:val="24"/>
          <w:lang w:eastAsia="es-ES"/>
        </w:rPr>
        <w:t xml:space="preserve">subvencionada). </w:t>
      </w:r>
      <w:r w:rsidR="002D627C">
        <w:rPr>
          <w:rFonts w:ascii="Times New Roman" w:hAnsi="Times New Roman"/>
          <w:b/>
          <w:color w:val="000000"/>
          <w:sz w:val="24"/>
          <w:szCs w:val="24"/>
          <w:lang w:eastAsia="es-ES"/>
        </w:rPr>
        <w:t xml:space="preserve">                          </w:t>
      </w:r>
      <w:r w:rsidRPr="00CA3B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(Se aportará en fichero Excel)</w:t>
      </w:r>
    </w:p>
    <w:tbl>
      <w:tblPr>
        <w:tblW w:w="15310" w:type="dxa"/>
        <w:tblInd w:w="-5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3544"/>
        <w:gridCol w:w="7796"/>
        <w:gridCol w:w="1276"/>
        <w:gridCol w:w="1701"/>
      </w:tblGrid>
      <w:tr w:rsidR="00CA3B7C" w:rsidRPr="00CA3B7C" w:rsidTr="004A6E2A">
        <w:trPr>
          <w:trHeight w:val="280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1"/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>Actividad: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1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>(Importes en €) (1)</w:t>
            </w:r>
          </w:p>
        </w:tc>
      </w:tr>
      <w:tr w:rsidR="00CA3B7C" w:rsidRPr="00CA3B7C" w:rsidTr="004A6E2A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szCs w:val="24"/>
                <w:lang w:eastAsia="es-ES"/>
              </w:rPr>
              <w:t>Código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szCs w:val="24"/>
                <w:lang w:eastAsia="es-ES"/>
              </w:rPr>
              <w:t xml:space="preserve">Categoría de Gasto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1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>Naturaleza del Gasto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5E5948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>Gasto en la Actividad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5E5948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 xml:space="preserve">A financiar con Subvención del SMS (4) </w:t>
            </w:r>
          </w:p>
        </w:tc>
      </w:tr>
      <w:tr w:rsidR="00CA3B7C" w:rsidRPr="00CA3B7C" w:rsidTr="004A6E2A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Gastos de personal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Costes de personal laboral y en régimen de prestación de servicios.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Compras de bienes no </w:t>
            </w:r>
            <w:proofErr w:type="spellStart"/>
            <w:r w:rsidRPr="00CA3B7C">
              <w:rPr>
                <w:rFonts w:ascii="Times New Roman" w:hAnsi="Times New Roman"/>
                <w:szCs w:val="24"/>
                <w:lang w:eastAsia="es-ES"/>
              </w:rPr>
              <w:t>inventariables</w:t>
            </w:r>
            <w:proofErr w:type="spellEnd"/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, mantenimiento de </w:t>
            </w:r>
            <w:proofErr w:type="spellStart"/>
            <w:r w:rsidRPr="00CA3B7C">
              <w:rPr>
                <w:rFonts w:ascii="Times New Roman" w:hAnsi="Times New Roman"/>
                <w:szCs w:val="24"/>
                <w:lang w:eastAsia="es-ES"/>
              </w:rPr>
              <w:t>inventariables</w:t>
            </w:r>
            <w:proofErr w:type="spellEnd"/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.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5E5948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Bienes fungibles. </w:t>
            </w:r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Gastos derivados de Bienes </w:t>
            </w:r>
            <w:proofErr w:type="spellStart"/>
            <w:r w:rsidRPr="00CA3B7C">
              <w:rPr>
                <w:rFonts w:ascii="Times New Roman" w:hAnsi="Times New Roman"/>
                <w:szCs w:val="24"/>
                <w:lang w:eastAsia="es-ES"/>
              </w:rPr>
              <w:t>Inventariables</w:t>
            </w:r>
            <w:proofErr w:type="spellEnd"/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. </w:t>
            </w:r>
            <w:r w:rsidRPr="00CA3B7C">
              <w:rPr>
                <w:rFonts w:ascii="Times New Roman" w:hAnsi="Times New Roman"/>
                <w:b/>
                <w:color w:val="000000"/>
                <w:szCs w:val="24"/>
                <w:lang w:eastAsia="es-ES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Gastos mediante subcontratación</w:t>
            </w:r>
            <w:r w:rsidR="005E5948">
              <w:rPr>
                <w:rFonts w:ascii="Times New Roman" w:hAnsi="Times New Roman"/>
                <w:szCs w:val="24"/>
                <w:lang w:eastAsia="es-ES"/>
              </w:rPr>
              <w:t>.</w:t>
            </w:r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Gastos a realizar mediante Subcontratación.  Detallar en relación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Adquisición o Amortización por depreciación bienes </w:t>
            </w:r>
            <w:proofErr w:type="spellStart"/>
            <w:r w:rsidRPr="00CA3B7C">
              <w:rPr>
                <w:rFonts w:ascii="Times New Roman" w:hAnsi="Times New Roman"/>
                <w:szCs w:val="24"/>
                <w:lang w:eastAsia="es-ES"/>
              </w:rPr>
              <w:t>inventariables</w:t>
            </w:r>
            <w:proofErr w:type="spellEnd"/>
            <w:r w:rsidRPr="00CA3B7C">
              <w:rPr>
                <w:rFonts w:ascii="Times New Roman" w:hAnsi="Times New Roman"/>
                <w:szCs w:val="24"/>
                <w:lang w:eastAsia="es-ES"/>
              </w:rPr>
              <w:t xml:space="preserve"> </w:t>
            </w:r>
            <w:r w:rsidRPr="00CA3B7C">
              <w:rPr>
                <w:rFonts w:ascii="Times New Roman" w:hAnsi="Times New Roman"/>
                <w:b/>
                <w:szCs w:val="24"/>
                <w:lang w:eastAsia="es-ES"/>
              </w:rPr>
              <w:t>(2)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7761E5">
            <w:pPr>
              <w:spacing w:after="0"/>
              <w:ind w:left="213" w:firstLineChars="3" w:firstLine="7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Solo cuantías de adquisición, o de dotación de amortización, durante el periodo de </w:t>
            </w:r>
            <w:r w:rsidR="007761E5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   </w:t>
            </w: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desarrollo de la Actividad.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jc w:val="center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eastAsia="Arial Unicode MS" w:hAnsi="Times New Roman"/>
                <w:color w:val="000000"/>
                <w:szCs w:val="24"/>
              </w:rPr>
              <w:t xml:space="preserve">Gastos de asesoría jurídica o financiera, y gastos de gestión y administración.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7761E5">
            <w:pPr>
              <w:spacing w:after="0"/>
              <w:ind w:left="213" w:firstLineChars="3" w:firstLine="7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eastAsia="Arial Unicode MS" w:hAnsi="Times New Roman"/>
                <w:color w:val="000000"/>
                <w:szCs w:val="24"/>
              </w:rPr>
              <w:t xml:space="preserve">Gastos de asesoría jurídica o financiera, y los de Administración específicos, son subvencionables si están directamente relacionados con la actividad subvencionada y son indispensables para la adecuada preparación o ejecución de la misma.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Otros Gastos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7761E5">
            <w:pPr>
              <w:spacing w:after="0"/>
              <w:ind w:left="213" w:firstLineChars="3" w:firstLine="7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color w:val="000000"/>
                <w:szCs w:val="24"/>
                <w:lang w:eastAsia="es-ES"/>
              </w:rPr>
              <w:t xml:space="preserve">Dietas y gastos de viajes del personal (con máximo de 2% subvención Actividad); Gastos en formación. Otros gastos.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  <w:tr w:rsidR="00CA3B7C" w:rsidRPr="00CA3B7C" w:rsidTr="004A6E2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jc w:val="center"/>
              <w:rPr>
                <w:rFonts w:ascii="Times New Roman" w:hAnsi="Times New Roman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rPr>
                <w:rFonts w:ascii="Times New Roman" w:hAnsi="Times New Roman"/>
                <w:szCs w:val="24"/>
                <w:lang w:eastAsia="es-ES"/>
              </w:rPr>
            </w:pPr>
            <w:r w:rsidRPr="00CA3B7C">
              <w:rPr>
                <w:rFonts w:ascii="Times New Roman" w:hAnsi="Times New Roman"/>
                <w:szCs w:val="24"/>
                <w:lang w:eastAsia="es-ES"/>
              </w:rPr>
              <w:t>TOTAL ACTIVIDAD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C" w:rsidRPr="00CA3B7C" w:rsidRDefault="00CA3B7C" w:rsidP="00CA3B7C">
            <w:pPr>
              <w:spacing w:after="0"/>
              <w:ind w:firstLineChars="100" w:firstLine="220"/>
              <w:rPr>
                <w:rFonts w:ascii="Times New Roman" w:hAnsi="Times New Roman"/>
                <w:color w:val="000000"/>
                <w:szCs w:val="24"/>
                <w:lang w:eastAsia="es-ES"/>
              </w:rPr>
            </w:pPr>
          </w:p>
        </w:tc>
      </w:tr>
    </w:tbl>
    <w:p w:rsidR="00CA3B7C" w:rsidRPr="00CA3B7C" w:rsidRDefault="00CA3B7C" w:rsidP="00CA3B7C">
      <w:pPr>
        <w:spacing w:after="0"/>
        <w:ind w:left="-993" w:right="-740" w:hanging="141"/>
        <w:jc w:val="both"/>
        <w:rPr>
          <w:rFonts w:ascii="Times New Roman" w:hAnsi="Times New Roman"/>
          <w:b/>
          <w:lang w:eastAsia="es-ES"/>
        </w:rPr>
      </w:pPr>
    </w:p>
    <w:p w:rsidR="004A6E2A" w:rsidRPr="00CA3B7C" w:rsidRDefault="004A6E2A" w:rsidP="004A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567" w:right="173"/>
        <w:jc w:val="both"/>
        <w:rPr>
          <w:rFonts w:ascii="Times New Roman" w:hAnsi="Times New Roman"/>
          <w:b/>
          <w:sz w:val="20"/>
          <w:lang w:eastAsia="es-ES"/>
        </w:rPr>
      </w:pPr>
      <w:r w:rsidRPr="00CA3B7C">
        <w:rPr>
          <w:rFonts w:ascii="Times New Roman" w:hAnsi="Times New Roman"/>
          <w:b/>
          <w:sz w:val="20"/>
          <w:lang w:eastAsia="es-ES"/>
        </w:rPr>
        <w:t>Notas al cuadro anterior:</w:t>
      </w:r>
    </w:p>
    <w:p w:rsidR="004A6E2A" w:rsidRDefault="00CA3B7C" w:rsidP="004A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567" w:right="173"/>
        <w:jc w:val="both"/>
        <w:rPr>
          <w:rFonts w:ascii="Times New Roman" w:hAnsi="Times New Roman"/>
          <w:sz w:val="20"/>
          <w:lang w:eastAsia="es-ES"/>
        </w:rPr>
      </w:pPr>
      <w:r w:rsidRPr="00CA3B7C">
        <w:rPr>
          <w:rFonts w:ascii="Times New Roman" w:hAnsi="Times New Roman"/>
          <w:sz w:val="20"/>
          <w:lang w:eastAsia="es-ES"/>
        </w:rPr>
        <w:t xml:space="preserve">(1) Cantidades sin  </w:t>
      </w:r>
      <w:r w:rsidR="004A6E2A">
        <w:rPr>
          <w:rFonts w:ascii="Times New Roman" w:hAnsi="Times New Roman"/>
          <w:sz w:val="20"/>
          <w:lang w:eastAsia="es-ES"/>
        </w:rPr>
        <w:t>IVA cuando este sea recuperable.</w:t>
      </w:r>
    </w:p>
    <w:p w:rsidR="004A6E2A" w:rsidRDefault="004A6E2A" w:rsidP="004A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567" w:right="173"/>
        <w:jc w:val="both"/>
        <w:rPr>
          <w:rFonts w:ascii="Times New Roman" w:hAnsi="Times New Roman"/>
          <w:sz w:val="20"/>
        </w:rPr>
      </w:pPr>
      <w:r w:rsidRPr="00CA3B7C">
        <w:rPr>
          <w:rFonts w:ascii="Times New Roman" w:hAnsi="Times New Roman"/>
          <w:sz w:val="20"/>
        </w:rPr>
        <w:t xml:space="preserve">(2) En caso de adquisición de bienes </w:t>
      </w:r>
      <w:proofErr w:type="spellStart"/>
      <w:r w:rsidRPr="00CA3B7C">
        <w:rPr>
          <w:rFonts w:ascii="Times New Roman" w:hAnsi="Times New Roman"/>
          <w:sz w:val="20"/>
        </w:rPr>
        <w:t>inventariables</w:t>
      </w:r>
      <w:proofErr w:type="spellEnd"/>
      <w:r w:rsidRPr="00CA3B7C">
        <w:rPr>
          <w:rFonts w:ascii="Times New Roman" w:hAnsi="Times New Roman"/>
          <w:sz w:val="20"/>
        </w:rPr>
        <w:t xml:space="preserve">, con compromiso escrito de adscripción del bien a la Actividad, conforme a lo establecido el artículo 31.4 de la Ley General de Subvenciones. En el caso de Amortización de bienes </w:t>
      </w:r>
      <w:proofErr w:type="spellStart"/>
      <w:r w:rsidRPr="00CA3B7C">
        <w:rPr>
          <w:rFonts w:ascii="Times New Roman" w:hAnsi="Times New Roman"/>
          <w:sz w:val="20"/>
        </w:rPr>
        <w:t>inventariables</w:t>
      </w:r>
      <w:proofErr w:type="spellEnd"/>
      <w:r w:rsidRPr="00CA3B7C">
        <w:rPr>
          <w:rFonts w:ascii="Times New Roman" w:hAnsi="Times New Roman"/>
          <w:sz w:val="20"/>
        </w:rPr>
        <w:t>, con la información que permita calcular la dotación de amortización de cada bien, correspondiente al periodo de desarrollo de la Actividad.</w:t>
      </w:r>
      <w:r w:rsidRPr="004A6E2A">
        <w:rPr>
          <w:rFonts w:ascii="Times New Roman" w:hAnsi="Times New Roman"/>
          <w:sz w:val="20"/>
        </w:rPr>
        <w:t xml:space="preserve"> </w:t>
      </w:r>
    </w:p>
    <w:p w:rsidR="004A6E2A" w:rsidRDefault="004A6E2A" w:rsidP="004A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567" w:right="173"/>
        <w:jc w:val="both"/>
        <w:rPr>
          <w:rFonts w:ascii="Times New Roman" w:hAnsi="Times New Roman"/>
          <w:color w:val="FF0000"/>
          <w:sz w:val="20"/>
        </w:rPr>
      </w:pPr>
      <w:r w:rsidRPr="00CA3B7C">
        <w:rPr>
          <w:rFonts w:ascii="Times New Roman" w:hAnsi="Times New Roman"/>
          <w:sz w:val="20"/>
        </w:rPr>
        <w:t xml:space="preserve">(3) Incluye entre otros los gastos propios de inmuebles (alquileres, suministros, reparaciones, mantenimiento y limpieza), y los de reparaciones y mantenimiento de otros bienes </w:t>
      </w:r>
      <w:proofErr w:type="spellStart"/>
      <w:r w:rsidRPr="00CA3B7C">
        <w:rPr>
          <w:rFonts w:ascii="Times New Roman" w:hAnsi="Times New Roman"/>
          <w:sz w:val="20"/>
        </w:rPr>
        <w:t>inventariables</w:t>
      </w:r>
      <w:proofErr w:type="spellEnd"/>
      <w:r w:rsidRPr="00F75B28">
        <w:rPr>
          <w:rFonts w:ascii="Times New Roman" w:hAnsi="Times New Roman"/>
          <w:color w:val="FF0000"/>
          <w:sz w:val="20"/>
        </w:rPr>
        <w:t>.</w:t>
      </w:r>
    </w:p>
    <w:p w:rsidR="004A6E2A" w:rsidRPr="00CA3B7C" w:rsidRDefault="004A6E2A" w:rsidP="004A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567" w:right="173"/>
        <w:jc w:val="both"/>
        <w:rPr>
          <w:rFonts w:ascii="Times New Roman" w:hAnsi="Times New Roman"/>
          <w:b/>
          <w:sz w:val="20"/>
          <w:lang w:eastAsia="es-ES"/>
        </w:rPr>
      </w:pPr>
      <w:r w:rsidRPr="004A6E2A">
        <w:rPr>
          <w:rFonts w:ascii="Times New Roman" w:hAnsi="Times New Roman"/>
          <w:sz w:val="20"/>
          <w:lang w:eastAsia="es-ES"/>
        </w:rPr>
        <w:t xml:space="preserve"> </w:t>
      </w:r>
      <w:r w:rsidRPr="003228BF">
        <w:rPr>
          <w:rFonts w:ascii="Times New Roman" w:hAnsi="Times New Roman"/>
          <w:sz w:val="20"/>
          <w:lang w:eastAsia="es-ES"/>
        </w:rPr>
        <w:t xml:space="preserve">(4) </w:t>
      </w:r>
      <w:r w:rsidRPr="00CA3B7C">
        <w:rPr>
          <w:rFonts w:ascii="Times New Roman" w:hAnsi="Times New Roman"/>
          <w:color w:val="000000"/>
          <w:sz w:val="20"/>
          <w:lang w:eastAsia="es-ES"/>
        </w:rPr>
        <w:t xml:space="preserve">Esta columna recoge, para </w:t>
      </w:r>
      <w:r>
        <w:rPr>
          <w:rFonts w:ascii="Times New Roman" w:hAnsi="Times New Roman"/>
          <w:color w:val="000000"/>
          <w:sz w:val="20"/>
          <w:lang w:eastAsia="es-ES"/>
        </w:rPr>
        <w:t xml:space="preserve">cada </w:t>
      </w:r>
      <w:r w:rsidRPr="00CA3B7C">
        <w:rPr>
          <w:rFonts w:ascii="Times New Roman" w:hAnsi="Times New Roman"/>
          <w:color w:val="000000"/>
          <w:sz w:val="20"/>
          <w:lang w:eastAsia="es-ES"/>
        </w:rPr>
        <w:t xml:space="preserve">categoría de gasto, la parte o cuantía de la columna anterior que se solicita como importe de subvención. </w:t>
      </w:r>
      <w:r w:rsidRPr="00F75B28">
        <w:rPr>
          <w:rFonts w:ascii="Times New Roman" w:hAnsi="Times New Roman"/>
          <w:color w:val="FF0000"/>
          <w:sz w:val="20"/>
        </w:rPr>
        <w:t xml:space="preserve"> </w:t>
      </w:r>
    </w:p>
    <w:p w:rsidR="009A210B" w:rsidRDefault="009A210B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sectPr w:rsidR="009A210B" w:rsidSect="00FA711C">
      <w:headerReference w:type="default" r:id="rId9"/>
      <w:pgSz w:w="16838" w:h="11906" w:orient="landscape"/>
      <w:pgMar w:top="335" w:right="822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4D" w:rsidRDefault="00E9014D" w:rsidP="00DA714D">
      <w:pPr>
        <w:spacing w:after="0" w:line="240" w:lineRule="auto"/>
      </w:pPr>
      <w:r>
        <w:separator/>
      </w:r>
    </w:p>
  </w:endnote>
  <w:endnote w:type="continuationSeparator" w:id="0">
    <w:p w:rsidR="00E9014D" w:rsidRDefault="00E9014D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4D" w:rsidRDefault="00E9014D" w:rsidP="00DA714D">
      <w:pPr>
        <w:spacing w:after="0" w:line="240" w:lineRule="auto"/>
      </w:pPr>
      <w:r>
        <w:separator/>
      </w:r>
    </w:p>
  </w:footnote>
  <w:footnote w:type="continuationSeparator" w:id="0">
    <w:p w:rsidR="00E9014D" w:rsidRDefault="00E9014D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8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4"/>
      <w:gridCol w:w="4394"/>
    </w:tblGrid>
    <w:tr w:rsidR="00FA711C" w:rsidTr="00FA711C">
      <w:trPr>
        <w:cantSplit/>
        <w:trHeight w:val="1414"/>
      </w:trPr>
      <w:tc>
        <w:tcPr>
          <w:tcW w:w="851" w:type="dxa"/>
          <w:hideMark/>
        </w:tcPr>
        <w:p w:rsidR="00FA711C" w:rsidRDefault="00FA711C">
          <w:pPr>
            <w:pStyle w:val="Encabezado"/>
            <w:ind w:left="-212" w:firstLine="142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09CA40DC" wp14:editId="2F26E242">
                <wp:extent cx="449580" cy="6121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FA711C" w:rsidRDefault="00FA711C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</w:p>
        <w:p w:rsidR="00FA711C" w:rsidRDefault="00FA711C">
          <w:pPr>
            <w:pStyle w:val="Encabezado"/>
            <w:rPr>
              <w:rFonts w:ascii="Verdana" w:hAnsi="Verdana"/>
              <w:b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sz w:val="16"/>
              <w:szCs w:val="16"/>
              <w:lang w:val="en-US"/>
            </w:rPr>
            <w:t>Región de Murcia</w:t>
          </w:r>
        </w:p>
        <w:p w:rsidR="00FA711C" w:rsidRDefault="00FA711C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Consejería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FA711C" w:rsidRDefault="00FA711C">
          <w:pPr>
            <w:pStyle w:val="Encabezado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Servicio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Murciano</w:t>
          </w:r>
          <w:proofErr w:type="spellEnd"/>
          <w:r>
            <w:rPr>
              <w:rFonts w:ascii="Verdana" w:hAnsi="Verdana"/>
              <w:sz w:val="16"/>
              <w:szCs w:val="16"/>
              <w:lang w:val="en-US"/>
            </w:rPr>
            <w:t xml:space="preserve"> de </w:t>
          </w:r>
          <w:proofErr w:type="spellStart"/>
          <w:r>
            <w:rPr>
              <w:rFonts w:ascii="Verdana" w:hAnsi="Verdana"/>
              <w:sz w:val="16"/>
              <w:szCs w:val="16"/>
              <w:lang w:val="en-US"/>
            </w:rPr>
            <w:t>Salud</w:t>
          </w:r>
          <w:proofErr w:type="spellEnd"/>
        </w:p>
        <w:p w:rsidR="00FA711C" w:rsidRDefault="00FA711C">
          <w:pPr>
            <w:pStyle w:val="Encabezado"/>
            <w:rPr>
              <w:sz w:val="16"/>
              <w:szCs w:val="16"/>
              <w:lang w:val="en-US"/>
            </w:rPr>
          </w:pPr>
        </w:p>
      </w:tc>
      <w:tc>
        <w:tcPr>
          <w:tcW w:w="8734" w:type="dxa"/>
          <w:hideMark/>
        </w:tcPr>
        <w:p w:rsidR="00FA711C" w:rsidRDefault="00FA711C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FA711C" w:rsidRDefault="00FA711C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FA711C" w:rsidRDefault="00FA711C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FA711C" w:rsidRDefault="00FA711C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FA711C" w:rsidRDefault="00FA711C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Dirección General de Asistencia Sanitaria</w:t>
          </w:r>
        </w:p>
        <w:p w:rsidR="00FA711C" w:rsidRDefault="00FA711C" w:rsidP="00FA711C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Central, 7. Edificio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Habitamia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I. 30100 </w:t>
          </w:r>
          <w:proofErr w:type="spellStart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Espinardo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-Murcia                                     </w:t>
          </w:r>
        </w:p>
      </w:tc>
      <w:tc>
        <w:tcPr>
          <w:tcW w:w="4394" w:type="dxa"/>
          <w:hideMark/>
        </w:tcPr>
        <w:p w:rsidR="00FA711C" w:rsidRDefault="00FA711C">
          <w:pPr>
            <w:pStyle w:val="Encabezado"/>
            <w:ind w:left="780" w:right="-7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01C2C982" wp14:editId="28B9374D">
                <wp:extent cx="790575" cy="542290"/>
                <wp:effectExtent l="0" t="0" r="9525" b="0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11C" w:rsidRDefault="00FA711C" w:rsidP="00FA7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86EEC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3222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014D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A711C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41B-E7DF-4F5E-8C94-CFA38CC4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3</cp:revision>
  <cp:lastPrinted>2020-10-20T10:09:00Z</cp:lastPrinted>
  <dcterms:created xsi:type="dcterms:W3CDTF">2020-10-26T12:58:00Z</dcterms:created>
  <dcterms:modified xsi:type="dcterms:W3CDTF">2020-10-26T13:07:00Z</dcterms:modified>
</cp:coreProperties>
</file>